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4E74" w14:textId="77777777" w:rsidR="00DE4355" w:rsidRDefault="0026082F" w:rsidP="00FA4480">
      <w:pPr>
        <w:jc w:val="center"/>
        <w:rPr>
          <w:rFonts w:eastAsia="Times New Roman"/>
          <w:b/>
          <w:bCs/>
          <w:sz w:val="28"/>
          <w:szCs w:val="28"/>
        </w:rPr>
      </w:pPr>
      <w:r w:rsidRPr="00FA4480">
        <w:rPr>
          <w:rFonts w:eastAsia="Times New Roman"/>
          <w:b/>
          <w:bCs/>
          <w:sz w:val="28"/>
          <w:szCs w:val="28"/>
        </w:rPr>
        <w:t>Sur le rapport entre le droit européen et le droit national</w:t>
      </w:r>
    </w:p>
    <w:p w14:paraId="077410AB" w14:textId="77777777" w:rsidR="00FA4480" w:rsidRPr="00FA4480" w:rsidRDefault="00FA4480" w:rsidP="00FA4480">
      <w:pPr>
        <w:jc w:val="center"/>
        <w:rPr>
          <w:rFonts w:eastAsia="Times New Roman"/>
          <w:b/>
          <w:bCs/>
          <w:sz w:val="28"/>
          <w:szCs w:val="28"/>
        </w:rPr>
      </w:pPr>
    </w:p>
    <w:p w14:paraId="15397AE8" w14:textId="77777777" w:rsidR="0026082F" w:rsidRPr="00EA363B" w:rsidRDefault="0026082F" w:rsidP="0026082F">
      <w:pPr>
        <w:pStyle w:val="Paragraphedelist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EA363B">
        <w:rPr>
          <w:rFonts w:eastAsia="Times New Roman"/>
          <w:sz w:val="28"/>
          <w:szCs w:val="28"/>
        </w:rPr>
        <w:t>Constat : le droit européen s’impose au droit national, l’emporte sur le droit national</w:t>
      </w:r>
    </w:p>
    <w:p w14:paraId="592CC3B0" w14:textId="77777777" w:rsidR="0026082F" w:rsidRDefault="0026082F" w:rsidP="0026082F">
      <w:pPr>
        <w:rPr>
          <w:rFonts w:eastAsia="Times New Roman"/>
          <w:sz w:val="28"/>
          <w:szCs w:val="28"/>
        </w:rPr>
      </w:pPr>
      <w:r w:rsidRPr="00EA363B">
        <w:rPr>
          <w:rFonts w:eastAsia="Times New Roman"/>
          <w:sz w:val="28"/>
          <w:szCs w:val="28"/>
        </w:rPr>
        <w:t xml:space="preserve">Dans l’Union européenne, cette primauté </w:t>
      </w:r>
      <w:r w:rsidR="00DE03CE">
        <w:rPr>
          <w:rFonts w:eastAsia="Times New Roman"/>
          <w:sz w:val="28"/>
          <w:szCs w:val="28"/>
        </w:rPr>
        <w:t xml:space="preserve">n’était pas prévue par les traités fondant les Communautés européennes : elle </w:t>
      </w:r>
      <w:r w:rsidRPr="00EA363B">
        <w:rPr>
          <w:rFonts w:eastAsia="Times New Roman"/>
          <w:sz w:val="28"/>
          <w:szCs w:val="28"/>
        </w:rPr>
        <w:t>a été imaginé</w:t>
      </w:r>
      <w:r w:rsidR="00DE03CE">
        <w:rPr>
          <w:rFonts w:eastAsia="Times New Roman"/>
          <w:sz w:val="28"/>
          <w:szCs w:val="28"/>
        </w:rPr>
        <w:t>e</w:t>
      </w:r>
      <w:r w:rsidRPr="00EA363B">
        <w:rPr>
          <w:rFonts w:eastAsia="Times New Roman"/>
          <w:sz w:val="28"/>
          <w:szCs w:val="28"/>
        </w:rPr>
        <w:t xml:space="preserve"> le juge européen</w:t>
      </w:r>
      <w:r w:rsidR="00DE03CE">
        <w:rPr>
          <w:rFonts w:eastAsia="Times New Roman"/>
          <w:sz w:val="28"/>
          <w:szCs w:val="28"/>
        </w:rPr>
        <w:t xml:space="preserve"> lui-même</w:t>
      </w:r>
      <w:r w:rsidRPr="00EA363B">
        <w:rPr>
          <w:rFonts w:eastAsia="Times New Roman"/>
          <w:sz w:val="28"/>
          <w:szCs w:val="28"/>
        </w:rPr>
        <w:t xml:space="preserve"> (la Cour de justice de l’Union européenne) et acceptée par les gouvernements des Etats. Cette primauté est</w:t>
      </w:r>
      <w:r w:rsidR="00EA363B">
        <w:rPr>
          <w:rFonts w:eastAsia="Times New Roman"/>
          <w:sz w:val="28"/>
          <w:szCs w:val="28"/>
        </w:rPr>
        <w:t>, en pratique,</w:t>
      </w:r>
      <w:r w:rsidRPr="00EA363B">
        <w:rPr>
          <w:rFonts w:eastAsia="Times New Roman"/>
          <w:sz w:val="28"/>
          <w:szCs w:val="28"/>
        </w:rPr>
        <w:t xml:space="preserve"> assurée par la collaboration des juges nationaux qui peuvent annuler des actes nationaux (administratifs) ou priver d’effet des lois votées par le parlement</w:t>
      </w:r>
      <w:r w:rsidR="00EA363B">
        <w:rPr>
          <w:rFonts w:eastAsia="Times New Roman"/>
          <w:sz w:val="28"/>
          <w:szCs w:val="28"/>
        </w:rPr>
        <w:t>.</w:t>
      </w:r>
    </w:p>
    <w:p w14:paraId="255C13A0" w14:textId="77777777" w:rsidR="00EA363B" w:rsidRPr="00EA363B" w:rsidRDefault="00EA363B" w:rsidP="0026082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En principe, la Constitution reste la « norme suprême » en droit national mais la Cour de justice de l’Union européenne et la Commission européenne font pression pour que le droit européen prime également sur la Constitution. </w:t>
      </w:r>
    </w:p>
    <w:p w14:paraId="5869AF0D" w14:textId="77777777" w:rsidR="0026082F" w:rsidRPr="00EA363B" w:rsidRDefault="0026082F" w:rsidP="0026082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A363B">
        <w:rPr>
          <w:rFonts w:eastAsia="Times New Roman"/>
          <w:sz w:val="28"/>
          <w:szCs w:val="28"/>
        </w:rPr>
        <w:t xml:space="preserve"> Cette primauté est pensée comme un moyen de l’intégration européenne, c’est-à-dire de la construction d’une Europe fédérale. L’idée est que le droit européen doit être le même partout dans toute l’Union européenne.</w:t>
      </w:r>
    </w:p>
    <w:p w14:paraId="696D5BF7" w14:textId="77777777" w:rsidR="00DE03CE" w:rsidRPr="00DE03CE" w:rsidRDefault="0026082F" w:rsidP="0026082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A363B">
        <w:rPr>
          <w:rFonts w:eastAsia="Times New Roman"/>
          <w:sz w:val="28"/>
          <w:szCs w:val="28"/>
        </w:rPr>
        <w:t>Plusieurs problèmes : l</w:t>
      </w:r>
    </w:p>
    <w:p w14:paraId="236DEF32" w14:textId="77777777" w:rsidR="00DE03CE" w:rsidRDefault="00DE03CE" w:rsidP="00DE03C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-L</w:t>
      </w:r>
      <w:r w:rsidR="0026082F" w:rsidRPr="00DE03CE">
        <w:rPr>
          <w:rFonts w:eastAsia="Times New Roman"/>
          <w:sz w:val="28"/>
          <w:szCs w:val="28"/>
        </w:rPr>
        <w:t>e droit européen qui prime le droit national n’est pas adopté démocratiquement (déficit démocratique)</w:t>
      </w:r>
    </w:p>
    <w:p w14:paraId="4B7E0A2F" w14:textId="77777777" w:rsidR="00DE03CE" w:rsidRDefault="00DE03CE" w:rsidP="00DE03C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L</w:t>
      </w:r>
      <w:r w:rsidR="0026082F" w:rsidRPr="00DE03CE">
        <w:rPr>
          <w:rFonts w:eastAsia="Times New Roman"/>
          <w:sz w:val="28"/>
          <w:szCs w:val="28"/>
        </w:rPr>
        <w:t xml:space="preserve">es juges </w:t>
      </w:r>
      <w:r w:rsidR="00EA363B" w:rsidRPr="00DE03CE">
        <w:rPr>
          <w:rFonts w:eastAsia="Times New Roman"/>
          <w:sz w:val="28"/>
          <w:szCs w:val="28"/>
        </w:rPr>
        <w:t xml:space="preserve">qui en assurent l’application </w:t>
      </w:r>
      <w:r w:rsidR="0026082F" w:rsidRPr="00DE03CE">
        <w:rPr>
          <w:rFonts w:eastAsia="Times New Roman"/>
          <w:sz w:val="28"/>
          <w:szCs w:val="28"/>
        </w:rPr>
        <w:t>ne sont pas élus</w:t>
      </w:r>
    </w:p>
    <w:p w14:paraId="3D598FAE" w14:textId="77777777" w:rsidR="0026082F" w:rsidRDefault="00DE03CE" w:rsidP="00DE03C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Le</w:t>
      </w:r>
      <w:r w:rsidR="00EA363B" w:rsidRPr="00DE03CE">
        <w:rPr>
          <w:rFonts w:eastAsia="Times New Roman"/>
          <w:sz w:val="28"/>
          <w:szCs w:val="28"/>
        </w:rPr>
        <w:t xml:space="preserve"> Parlement et les citoyens sont privés de contrôle réel sur l’élaboration et l’application du droit européen.</w:t>
      </w:r>
    </w:p>
    <w:p w14:paraId="2FE9E18D" w14:textId="77777777" w:rsidR="00DE03CE" w:rsidRPr="00DE03CE" w:rsidRDefault="00DE03CE" w:rsidP="00DE03CE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Le droit européen régit directement ou indirectement un très grand nombre de sujets</w:t>
      </w:r>
    </w:p>
    <w:p w14:paraId="3A7EA1CF" w14:textId="77777777" w:rsidR="0026082F" w:rsidRPr="00DE03CE" w:rsidRDefault="0026082F" w:rsidP="0026082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A363B">
        <w:rPr>
          <w:rFonts w:eastAsia="Times New Roman"/>
          <w:sz w:val="28"/>
          <w:szCs w:val="28"/>
        </w:rPr>
        <w:t xml:space="preserve"> </w:t>
      </w:r>
      <w:r w:rsidR="00DE03CE">
        <w:rPr>
          <w:rFonts w:eastAsia="Times New Roman"/>
          <w:sz w:val="28"/>
          <w:szCs w:val="28"/>
        </w:rPr>
        <w:t>La primauté du droit européen a suscité des polémiques et des conflits, non seulement en Pologne et en Hongrie, mais aussi en Allemagne où le Tribunal constitutionnel a affirmé plusieurs fois l’autorité des institutions allemandes et la nécessité d’assurer les droits démocratiques du peuple.</w:t>
      </w:r>
      <w:r w:rsidR="00C623A4">
        <w:rPr>
          <w:rFonts w:eastAsia="Times New Roman"/>
          <w:sz w:val="28"/>
          <w:szCs w:val="28"/>
        </w:rPr>
        <w:t xml:space="preserve"> </w:t>
      </w:r>
    </w:p>
    <w:p w14:paraId="271255E5" w14:textId="77777777" w:rsidR="00DE03CE" w:rsidRPr="00EA363B" w:rsidRDefault="00DE03CE" w:rsidP="0026082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Nous pourrions proposer un referendum sur la primauté du droit européen en France.</w:t>
      </w:r>
    </w:p>
    <w:sectPr w:rsidR="00DE03CE" w:rsidRPr="00EA363B" w:rsidSect="00BB76D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5F0ABA"/>
    <w:multiLevelType w:val="hybridMultilevel"/>
    <w:tmpl w:val="2028FE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35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2F"/>
    <w:rsid w:val="00124EEF"/>
    <w:rsid w:val="0026082F"/>
    <w:rsid w:val="00AE7CFD"/>
    <w:rsid w:val="00BB76D3"/>
    <w:rsid w:val="00C623A4"/>
    <w:rsid w:val="00DE03CE"/>
    <w:rsid w:val="00DE4355"/>
    <w:rsid w:val="00EA363B"/>
    <w:rsid w:val="00F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3D272B"/>
  <w14:defaultImageDpi w14:val="300"/>
  <w15:docId w15:val="{4F6EBB21-1A6B-4FBC-B648-940776AB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0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</dc:creator>
  <cp:keywords/>
  <dc:description/>
  <cp:lastModifiedBy>André Bellon</cp:lastModifiedBy>
  <cp:revision>3</cp:revision>
  <dcterms:created xsi:type="dcterms:W3CDTF">2024-04-25T15:28:00Z</dcterms:created>
  <dcterms:modified xsi:type="dcterms:W3CDTF">2024-04-25T15:50:00Z</dcterms:modified>
</cp:coreProperties>
</file>